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Blue Box 2</w:t>
      </w:r>
    </w:p>
    <w:p w:rsidR="00000000" w:rsidDel="00000000" w:rsidP="00000000" w:rsidRDefault="00000000" w:rsidRPr="00000000">
      <w:pPr>
        <w:pBdr/>
        <w:contextualSpacing w:val="0"/>
        <w:rPr/>
      </w:pPr>
      <w:r w:rsidDel="00000000" w:rsidR="00000000" w:rsidRPr="00000000">
        <w:rPr>
          <w:rtl w:val="0"/>
        </w:rPr>
        <w:t xml:space="preserve">Great options are available if you’re in the mood for puzzle, brain trainer or physics-based games. More and more gamers across the community are immersing themselves in Blue Box 2. In Blue Box 2, your job is to link two blue blocks together so you can get to the next level. You’ll be able to remove other objects when you click on them, but will have to take great care to avoid dropping the blue block and seeing it fall to the ground. The game has won rave reviews online, so why not find out what all the fuss is about and get started with Blue Box 2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